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AF3577" w14:textId="77777777" w:rsidR="00247339" w:rsidRPr="00247339" w:rsidRDefault="00247339" w:rsidP="00247339">
      <w:pPr>
        <w:spacing w:before="100" w:beforeAutospacing="1" w:after="100" w:afterAutospacing="1"/>
        <w:outlineLvl w:val="0"/>
        <w:rPr>
          <w:rFonts w:ascii="Times" w:eastAsia="Times New Roman" w:hAnsi="Times" w:cs="Times New Roman"/>
          <w:b/>
          <w:bCs/>
          <w:kern w:val="36"/>
          <w:sz w:val="48"/>
          <w:szCs w:val="48"/>
        </w:rPr>
      </w:pPr>
      <w:r w:rsidRPr="00247339">
        <w:rPr>
          <w:rFonts w:ascii="Times" w:eastAsia="Times New Roman" w:hAnsi="Times" w:cs="Times New Roman"/>
          <w:b/>
          <w:bCs/>
          <w:kern w:val="36"/>
          <w:sz w:val="48"/>
          <w:szCs w:val="48"/>
        </w:rPr>
        <w:t>Prior Knowledge</w:t>
      </w:r>
    </w:p>
    <w:p w14:paraId="7DA2D0E5" w14:textId="77777777" w:rsidR="00247339" w:rsidRPr="00247339" w:rsidRDefault="00247339" w:rsidP="00247339">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14:anchorId="222CC765" wp14:editId="2AEA20B8">
            <wp:extent cx="2514600" cy="1676400"/>
            <wp:effectExtent l="0" t="0" r="0" b="0"/>
            <wp:docPr id="1" name="Picture 1" descr="rior Knowl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or Knowled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1676400"/>
                    </a:xfrm>
                    <a:prstGeom prst="rect">
                      <a:avLst/>
                    </a:prstGeom>
                    <a:noFill/>
                    <a:ln>
                      <a:noFill/>
                    </a:ln>
                  </pic:spPr>
                </pic:pic>
              </a:graphicData>
            </a:graphic>
          </wp:inline>
        </w:drawing>
      </w:r>
    </w:p>
    <w:p w14:paraId="6A34EA02" w14:textId="77777777" w:rsidR="00247339" w:rsidRPr="00247339" w:rsidRDefault="00247339" w:rsidP="00247339">
      <w:pPr>
        <w:spacing w:before="100" w:beforeAutospacing="1" w:after="100" w:afterAutospacing="1"/>
        <w:outlineLvl w:val="3"/>
        <w:rPr>
          <w:rFonts w:ascii="Times" w:eastAsia="Times New Roman" w:hAnsi="Times" w:cs="Times New Roman"/>
          <w:b/>
          <w:bCs/>
        </w:rPr>
      </w:pPr>
      <w:r w:rsidRPr="00247339">
        <w:rPr>
          <w:rFonts w:ascii="Times" w:eastAsia="Times New Roman" w:hAnsi="Times" w:cs="Times New Roman"/>
          <w:b/>
          <w:bCs/>
        </w:rPr>
        <w:t>About Tapping Prior Knowledge</w:t>
      </w:r>
    </w:p>
    <w:p w14:paraId="0B0242A5" w14:textId="77777777" w:rsidR="00247339" w:rsidRPr="00247339" w:rsidRDefault="00247339" w:rsidP="00247339">
      <w:pPr>
        <w:spacing w:before="100" w:beforeAutospacing="1" w:after="100" w:afterAutospacing="1"/>
        <w:rPr>
          <w:rFonts w:ascii="Times" w:hAnsi="Times" w:cs="Times New Roman"/>
        </w:rPr>
      </w:pPr>
      <w:r w:rsidRPr="00247339">
        <w:rPr>
          <w:rFonts w:ascii="Times" w:hAnsi="Times" w:cs="Times New Roman"/>
        </w:rPr>
        <w:t>For a student, new content can be overwhelming. There are new vocabulary words, ideas, and concepts that others seem to understand easily or have experienced before. Teachers can help their students make the transition from the unfamiliar by tapping students’ prior knowledge. Research shows that we can jump-start learning by accessing preexisting attitudes, experiences, and knowledge and bridge the gap between what is being taught and what is already known.</w:t>
      </w:r>
      <w:r w:rsidRPr="00247339">
        <w:rPr>
          <w:rFonts w:ascii="Times" w:hAnsi="Times" w:cs="Times New Roman"/>
        </w:rPr>
        <w:br/>
      </w:r>
      <w:r w:rsidRPr="00247339">
        <w:rPr>
          <w:rFonts w:ascii="Times" w:hAnsi="Times" w:cs="Times New Roman"/>
        </w:rPr>
        <w:br/>
        <w:t>Teachers can also use prior knowledge to make instruction more meaningful. Many researchers (Peshkin, 1992; Protheroe &amp; Barsdate, 1992; and Lee, 1992) emphasize the importance of incorporating a student's cultural background into the curriculum. As the world changes, students must learn to understand and appreciate the experiences and contributions of people from different backgrounds. A culturally-responsive education links curriculum, instruction, and assessment to the students' experiences, language, and culture, in other words, to their prior knowledge.</w:t>
      </w:r>
      <w:r w:rsidRPr="00247339">
        <w:rPr>
          <w:rFonts w:ascii="Times" w:hAnsi="Times" w:cs="Times New Roman"/>
        </w:rPr>
        <w:br/>
      </w:r>
      <w:r w:rsidRPr="00247339">
        <w:rPr>
          <w:rFonts w:ascii="Times" w:hAnsi="Times" w:cs="Times New Roman"/>
        </w:rPr>
        <w:br/>
        <w:t>Additionally, this instructional strategy defines a proper starting place for instruction and the sequence of instructional activities. As stated by educational psychologist David Ausubel, “The most important single factor influencing learning is what the learner already knows.”</w:t>
      </w:r>
    </w:p>
    <w:p w14:paraId="70C36757" w14:textId="77777777" w:rsidR="00247339" w:rsidRPr="00247339" w:rsidRDefault="00247339" w:rsidP="00247339">
      <w:pPr>
        <w:spacing w:before="100" w:beforeAutospacing="1" w:after="100" w:afterAutospacing="1"/>
        <w:outlineLvl w:val="1"/>
        <w:rPr>
          <w:rFonts w:ascii="Times" w:eastAsia="Times New Roman" w:hAnsi="Times" w:cs="Times New Roman"/>
          <w:b/>
          <w:bCs/>
          <w:sz w:val="36"/>
          <w:szCs w:val="36"/>
        </w:rPr>
      </w:pPr>
      <w:r w:rsidRPr="00247339">
        <w:rPr>
          <w:rFonts w:ascii="Times" w:eastAsia="Times New Roman" w:hAnsi="Times" w:cs="Times New Roman"/>
          <w:b/>
          <w:bCs/>
          <w:sz w:val="36"/>
          <w:szCs w:val="36"/>
        </w:rPr>
        <w:t>Make it Happen in Your Classroom</w:t>
      </w:r>
    </w:p>
    <w:p w14:paraId="136065AD" w14:textId="77777777" w:rsidR="00247339" w:rsidRPr="00247339" w:rsidRDefault="00247339" w:rsidP="00247339">
      <w:pPr>
        <w:spacing w:before="100" w:beforeAutospacing="1" w:after="100" w:afterAutospacing="1"/>
        <w:rPr>
          <w:rFonts w:ascii="Times" w:hAnsi="Times" w:cs="Times New Roman"/>
        </w:rPr>
      </w:pPr>
      <w:r w:rsidRPr="00247339">
        <w:rPr>
          <w:rFonts w:ascii="Times" w:hAnsi="Times" w:cs="Times New Roman"/>
        </w:rPr>
        <w:t>Exercises to access prior knowledge can be used at any grade level, with any content area, and with any subject. Prior knowledge is the proper entry point for instruction because it builds on what is already known, supports comprehension, and makes sense of new learning (Kujawa and Huske, 1995). Tapping students’ prior knowledge is an effective way to start a new unit or lesson and an even better way to get students involved right from the start. Referring back to this knowledge throughout a unit of study will keep students engaged in their learning and keep the material relevant.</w:t>
      </w:r>
    </w:p>
    <w:p w14:paraId="74295511" w14:textId="77777777" w:rsidR="00247339" w:rsidRPr="00247339" w:rsidRDefault="00247339" w:rsidP="00247339">
      <w:pPr>
        <w:spacing w:before="100" w:beforeAutospacing="1" w:after="100" w:afterAutospacing="1"/>
        <w:outlineLvl w:val="1"/>
        <w:rPr>
          <w:rFonts w:ascii="Times" w:eastAsia="Times New Roman" w:hAnsi="Times" w:cs="Times New Roman"/>
          <w:b/>
          <w:bCs/>
          <w:sz w:val="36"/>
          <w:szCs w:val="36"/>
        </w:rPr>
      </w:pPr>
      <w:r w:rsidRPr="00247339">
        <w:rPr>
          <w:rFonts w:ascii="Times" w:eastAsia="Times New Roman" w:hAnsi="Times" w:cs="Times New Roman"/>
          <w:b/>
          <w:bCs/>
          <w:sz w:val="36"/>
          <w:szCs w:val="36"/>
        </w:rPr>
        <w:t>Examples Across the Curriculum</w:t>
      </w:r>
    </w:p>
    <w:p w14:paraId="70B1685B" w14:textId="208DDCF0" w:rsidR="00247339" w:rsidRPr="00247339" w:rsidRDefault="00247339" w:rsidP="00247339">
      <w:pPr>
        <w:spacing w:before="100" w:beforeAutospacing="1" w:after="100" w:afterAutospacing="1"/>
        <w:rPr>
          <w:rFonts w:ascii="Times" w:hAnsi="Times" w:cs="Times New Roman"/>
          <w:sz w:val="20"/>
          <w:szCs w:val="20"/>
        </w:rPr>
      </w:pPr>
      <w:r w:rsidRPr="00247339">
        <w:rPr>
          <w:rFonts w:ascii="Times" w:hAnsi="Times" w:cs="Times New Roman"/>
        </w:rPr>
        <w:t>From simply asking questions aloud to formally using a journal to document students' pr</w:t>
      </w:r>
      <w:r w:rsidR="001D4D00">
        <w:rPr>
          <w:rFonts w:ascii="Times" w:hAnsi="Times" w:cs="Times New Roman"/>
        </w:rPr>
        <w:t>ior knowledge, there are a wide-</w:t>
      </w:r>
      <w:r w:rsidRPr="00247339">
        <w:rPr>
          <w:rFonts w:ascii="Times" w:hAnsi="Times" w:cs="Times New Roman"/>
        </w:rPr>
        <w:t xml:space="preserve">range of activities teachers can use. The following examples can be </w:t>
      </w:r>
      <w:r w:rsidRPr="00247339">
        <w:rPr>
          <w:rFonts w:ascii="Times" w:hAnsi="Times" w:cs="Times New Roman"/>
        </w:rPr>
        <w:lastRenderedPageBreak/>
        <w:t>used across the curriculum and at any grade level.</w:t>
      </w:r>
      <w:r w:rsidRPr="00247339">
        <w:rPr>
          <w:rFonts w:ascii="Times" w:hAnsi="Times" w:cs="Times New Roman"/>
          <w:sz w:val="20"/>
          <w:szCs w:val="20"/>
        </w:rPr>
        <w:br/>
      </w:r>
      <w:r w:rsidRPr="00247339">
        <w:rPr>
          <w:rFonts w:ascii="Times" w:hAnsi="Times" w:cs="Times New Roman"/>
          <w:sz w:val="20"/>
          <w:szCs w:val="20"/>
        </w:rPr>
        <w:br/>
      </w:r>
      <w:r w:rsidRPr="00247339">
        <w:rPr>
          <w:rFonts w:ascii="Times" w:hAnsi="Times" w:cs="Times New Roman"/>
        </w:rPr>
        <w:fldChar w:fldCharType="begin"/>
      </w:r>
      <w:r w:rsidRPr="00247339">
        <w:rPr>
          <w:rFonts w:ascii="Times" w:hAnsi="Times" w:cs="Times New Roman"/>
        </w:rPr>
        <w:instrText xml:space="preserve"> HYPERLINK "http://www.intel.com/content/dam/www/program/education/us/en/documents/project-design/strategies/written-activities.pdf" \t "_blank" </w:instrText>
      </w:r>
      <w:r w:rsidRPr="00247339">
        <w:rPr>
          <w:rFonts w:ascii="Times" w:hAnsi="Times" w:cs="Times New Roman"/>
        </w:rPr>
        <w:fldChar w:fldCharType="separate"/>
      </w:r>
      <w:r w:rsidRPr="00B603EA">
        <w:rPr>
          <w:rFonts w:ascii="Times" w:hAnsi="Times" w:cs="Times New Roman"/>
          <w:color w:val="0000FF"/>
          <w:u w:val="single"/>
        </w:rPr>
        <w:t>Written Act</w:t>
      </w:r>
      <w:bookmarkStart w:id="0" w:name="_GoBack"/>
      <w:bookmarkEnd w:id="0"/>
      <w:r w:rsidRPr="00B603EA">
        <w:rPr>
          <w:rFonts w:ascii="Times" w:hAnsi="Times" w:cs="Times New Roman"/>
          <w:color w:val="0000FF"/>
          <w:u w:val="single"/>
        </w:rPr>
        <w:t>i</w:t>
      </w:r>
      <w:r w:rsidRPr="00B603EA">
        <w:rPr>
          <w:rFonts w:ascii="Times" w:hAnsi="Times" w:cs="Times New Roman"/>
          <w:color w:val="0000FF"/>
          <w:u w:val="single"/>
        </w:rPr>
        <w:t>vities &gt;</w:t>
      </w:r>
      <w:r w:rsidRPr="00247339">
        <w:rPr>
          <w:rFonts w:ascii="Times" w:hAnsi="Times" w:cs="Times New Roman"/>
        </w:rPr>
        <w:fldChar w:fldCharType="end"/>
      </w:r>
      <w:r w:rsidRPr="00247339">
        <w:rPr>
          <w:rFonts w:ascii="Times" w:hAnsi="Times" w:cs="Times New Roman"/>
        </w:rPr>
        <w:br/>
        <w:t>Activities that prompt students to write and reflect about what they already know about new content. These include quick writes, journals, and learning logs.</w:t>
      </w:r>
      <w:r w:rsidRPr="00247339">
        <w:rPr>
          <w:rFonts w:ascii="Times" w:hAnsi="Times" w:cs="Times New Roman"/>
        </w:rPr>
        <w:br/>
      </w:r>
      <w:r w:rsidRPr="00247339">
        <w:rPr>
          <w:rFonts w:ascii="Times" w:hAnsi="Times" w:cs="Times New Roman"/>
        </w:rPr>
        <w:br/>
      </w:r>
      <w:r w:rsidRPr="00247339">
        <w:rPr>
          <w:rFonts w:ascii="Times" w:hAnsi="Times" w:cs="Times New Roman"/>
        </w:rPr>
        <w:fldChar w:fldCharType="begin"/>
      </w:r>
      <w:r w:rsidRPr="00247339">
        <w:rPr>
          <w:rFonts w:ascii="Times" w:hAnsi="Times" w:cs="Times New Roman"/>
        </w:rPr>
        <w:instrText xml:space="preserve"> HYPERLINK "http://www.intel.com/content/dam/www/program/education/us/en/swf/teach-elements/pbl/resources/Know-Wonder-Learn-How_Charts.pdf" \t "_blank" </w:instrText>
      </w:r>
      <w:r w:rsidRPr="00247339">
        <w:rPr>
          <w:rFonts w:ascii="Times" w:hAnsi="Times" w:cs="Times New Roman"/>
        </w:rPr>
        <w:fldChar w:fldCharType="separate"/>
      </w:r>
      <w:r w:rsidRPr="00B603EA">
        <w:rPr>
          <w:rFonts w:ascii="Times" w:hAnsi="Times" w:cs="Times New Roman"/>
          <w:color w:val="0000FF"/>
          <w:u w:val="single"/>
        </w:rPr>
        <w:t>Know-Wonder-Learn Charts (K-W-L) &gt;</w:t>
      </w:r>
      <w:r w:rsidRPr="00247339">
        <w:rPr>
          <w:rFonts w:ascii="Times" w:hAnsi="Times" w:cs="Times New Roman"/>
        </w:rPr>
        <w:fldChar w:fldCharType="end"/>
      </w:r>
      <w:r w:rsidRPr="00247339">
        <w:rPr>
          <w:rFonts w:ascii="Times" w:hAnsi="Times" w:cs="Times New Roman"/>
        </w:rPr>
        <w:br/>
        <w:t>An instructional technique used to activate students’ prior knowledge, set goals, and record new knowledge gleaned from a unit of study.</w:t>
      </w:r>
      <w:r w:rsidRPr="00247339">
        <w:rPr>
          <w:rFonts w:ascii="Times" w:hAnsi="Times" w:cs="Times New Roman"/>
        </w:rPr>
        <w:br/>
      </w:r>
      <w:r w:rsidRPr="00247339">
        <w:rPr>
          <w:rFonts w:ascii="Times" w:hAnsi="Times" w:cs="Times New Roman"/>
        </w:rPr>
        <w:br/>
      </w:r>
      <w:r w:rsidRPr="00247339">
        <w:rPr>
          <w:rFonts w:ascii="Times" w:hAnsi="Times" w:cs="Times New Roman"/>
        </w:rPr>
        <w:fldChar w:fldCharType="begin"/>
      </w:r>
      <w:r w:rsidRPr="00247339">
        <w:rPr>
          <w:rFonts w:ascii="Times" w:hAnsi="Times" w:cs="Times New Roman"/>
        </w:rPr>
        <w:instrText xml:space="preserve"> HYPERLINK "http://www.intel.com/content/dam/www/program/education/us/en/documents/project-design/strategies/thinking-activities.pdf" \t "_blank" </w:instrText>
      </w:r>
      <w:r w:rsidRPr="00247339">
        <w:rPr>
          <w:rFonts w:ascii="Times" w:hAnsi="Times" w:cs="Times New Roman"/>
        </w:rPr>
        <w:fldChar w:fldCharType="separate"/>
      </w:r>
      <w:r w:rsidRPr="00B603EA">
        <w:rPr>
          <w:rFonts w:ascii="Times" w:hAnsi="Times" w:cs="Times New Roman"/>
          <w:color w:val="0000FF"/>
          <w:u w:val="single"/>
        </w:rPr>
        <w:t>Thinking Activities &gt;</w:t>
      </w:r>
      <w:r w:rsidRPr="00247339">
        <w:rPr>
          <w:rFonts w:ascii="Times" w:hAnsi="Times" w:cs="Times New Roman"/>
        </w:rPr>
        <w:fldChar w:fldCharType="end"/>
      </w:r>
      <w:r w:rsidRPr="00247339">
        <w:rPr>
          <w:rFonts w:ascii="Times" w:hAnsi="Times" w:cs="Times New Roman"/>
        </w:rPr>
        <w:br/>
        <w:t>Activities that tap students’ thinking by giving them an opportunity to make predictions, list and rank ideas, and make analogies based on their prior knowledge.</w:t>
      </w:r>
      <w:r w:rsidRPr="00247339">
        <w:rPr>
          <w:rFonts w:ascii="Times" w:hAnsi="Times" w:cs="Times New Roman"/>
        </w:rPr>
        <w:br/>
      </w:r>
      <w:r w:rsidRPr="00247339">
        <w:rPr>
          <w:rFonts w:ascii="Times" w:hAnsi="Times" w:cs="Times New Roman"/>
        </w:rPr>
        <w:fldChar w:fldCharType="begin"/>
      </w:r>
      <w:r w:rsidRPr="00247339">
        <w:rPr>
          <w:rFonts w:ascii="Times" w:hAnsi="Times" w:cs="Times New Roman"/>
        </w:rPr>
        <w:instrText xml:space="preserve"> HYPERLINK "http://www.intel.com/content/dam/www/program/education/us/en/documents/project-design/strategies/discussions.pdf" \t "_blank" </w:instrText>
      </w:r>
      <w:r w:rsidRPr="00247339">
        <w:rPr>
          <w:rFonts w:ascii="Times" w:hAnsi="Times" w:cs="Times New Roman"/>
        </w:rPr>
        <w:fldChar w:fldCharType="separate"/>
      </w:r>
      <w:r w:rsidRPr="00247339">
        <w:rPr>
          <w:rFonts w:ascii="Times" w:hAnsi="Times" w:cs="Times New Roman"/>
          <w:color w:val="0000FF"/>
          <w:u w:val="single"/>
        </w:rPr>
        <w:br/>
      </w:r>
      <w:r w:rsidRPr="00B603EA">
        <w:rPr>
          <w:rFonts w:ascii="Times" w:hAnsi="Times" w:cs="Times New Roman"/>
          <w:color w:val="0000FF"/>
          <w:u w:val="single"/>
        </w:rPr>
        <w:t>Discussions &gt;</w:t>
      </w:r>
      <w:r w:rsidRPr="00247339">
        <w:rPr>
          <w:rFonts w:ascii="Times" w:hAnsi="Times" w:cs="Times New Roman"/>
        </w:rPr>
        <w:fldChar w:fldCharType="end"/>
      </w:r>
      <w:r w:rsidRPr="00247339">
        <w:rPr>
          <w:rFonts w:ascii="Times" w:hAnsi="Times" w:cs="Times New Roman"/>
        </w:rPr>
        <w:br/>
        <w:t>Teacher to student and whole class discussions activate students’ prior knowledge by providing opportunities to orally share ideas and discuss opinions.</w:t>
      </w:r>
    </w:p>
    <w:p w14:paraId="60FD5C93" w14:textId="77777777" w:rsidR="00247339" w:rsidRPr="00247339" w:rsidRDefault="00247339" w:rsidP="00247339">
      <w:pPr>
        <w:spacing w:before="100" w:beforeAutospacing="1" w:after="100" w:afterAutospacing="1"/>
        <w:outlineLvl w:val="1"/>
        <w:rPr>
          <w:rFonts w:ascii="Times" w:eastAsia="Times New Roman" w:hAnsi="Times" w:cs="Times New Roman"/>
          <w:b/>
          <w:bCs/>
          <w:sz w:val="36"/>
          <w:szCs w:val="36"/>
        </w:rPr>
      </w:pPr>
      <w:r w:rsidRPr="00247339">
        <w:rPr>
          <w:rFonts w:ascii="Times" w:eastAsia="Times New Roman" w:hAnsi="Times" w:cs="Times New Roman"/>
          <w:b/>
          <w:bCs/>
          <w:sz w:val="36"/>
          <w:szCs w:val="36"/>
        </w:rPr>
        <w:t>References</w:t>
      </w:r>
    </w:p>
    <w:p w14:paraId="72D5546F" w14:textId="77777777" w:rsidR="00247339" w:rsidRPr="00B603EA" w:rsidRDefault="00247339" w:rsidP="00247339">
      <w:pPr>
        <w:spacing w:before="100" w:beforeAutospacing="1" w:after="100" w:afterAutospacing="1"/>
        <w:rPr>
          <w:rFonts w:ascii="Times" w:hAnsi="Times" w:cs="Times New Roman"/>
        </w:rPr>
      </w:pPr>
      <w:r w:rsidRPr="00247339">
        <w:rPr>
          <w:rFonts w:ascii="Times" w:hAnsi="Times" w:cs="Times New Roman"/>
        </w:rPr>
        <w:t xml:space="preserve">Kujawa, S., &amp; Huske, L. (1995). </w:t>
      </w:r>
      <w:r w:rsidRPr="00247339">
        <w:rPr>
          <w:rFonts w:ascii="Times" w:hAnsi="Times" w:cs="Times New Roman"/>
          <w:i/>
          <w:iCs/>
        </w:rPr>
        <w:t>The Strategic Teaching and Reading Project guidebook (Rev. ed</w:t>
      </w:r>
      <w:r w:rsidRPr="00247339">
        <w:rPr>
          <w:rFonts w:ascii="Times" w:hAnsi="Times" w:cs="Times New Roman"/>
        </w:rPr>
        <w:t>.). Oak Brook, IL: North Central Regional Educational Laboratory.</w:t>
      </w:r>
      <w:r w:rsidRPr="00247339">
        <w:rPr>
          <w:rFonts w:ascii="Times" w:hAnsi="Times" w:cs="Times New Roman"/>
        </w:rPr>
        <w:br/>
      </w:r>
      <w:r w:rsidRPr="00247339">
        <w:rPr>
          <w:rFonts w:ascii="Times" w:hAnsi="Times" w:cs="Times New Roman"/>
        </w:rPr>
        <w:br/>
        <w:t xml:space="preserve">Lee, C. D. (1992, February). Literacy, cultural diversity, and instruction. </w:t>
      </w:r>
      <w:r w:rsidRPr="00247339">
        <w:rPr>
          <w:rFonts w:ascii="Times" w:hAnsi="Times" w:cs="Times New Roman"/>
          <w:i/>
          <w:iCs/>
        </w:rPr>
        <w:t>Education and Urban Society, 24</w:t>
      </w:r>
      <w:r w:rsidRPr="00247339">
        <w:rPr>
          <w:rFonts w:ascii="Times" w:hAnsi="Times" w:cs="Times New Roman"/>
        </w:rPr>
        <w:t>(2), 279-291.</w:t>
      </w:r>
      <w:r w:rsidRPr="00247339">
        <w:rPr>
          <w:rFonts w:ascii="Times" w:hAnsi="Times" w:cs="Times New Roman"/>
        </w:rPr>
        <w:br/>
      </w:r>
      <w:r w:rsidRPr="00247339">
        <w:rPr>
          <w:rFonts w:ascii="Times" w:hAnsi="Times" w:cs="Times New Roman"/>
        </w:rPr>
        <w:br/>
        <w:t xml:space="preserve">Peshkin, A. (1992). The relationship between culture and curriculum: A many fitting thing. In P.W. Jackson (Ed.), </w:t>
      </w:r>
      <w:r w:rsidRPr="00247339">
        <w:rPr>
          <w:rFonts w:ascii="Times" w:hAnsi="Times" w:cs="Times New Roman"/>
          <w:i/>
          <w:iCs/>
        </w:rPr>
        <w:t>Handbook on research on curriculum,</w:t>
      </w:r>
      <w:r w:rsidRPr="00247339">
        <w:rPr>
          <w:rFonts w:ascii="Times" w:hAnsi="Times" w:cs="Times New Roman"/>
        </w:rPr>
        <w:t xml:space="preserve"> (pp. 248-267). New York: Macmillan.</w:t>
      </w:r>
      <w:r w:rsidRPr="00247339">
        <w:rPr>
          <w:rFonts w:ascii="Times" w:hAnsi="Times" w:cs="Times New Roman"/>
        </w:rPr>
        <w:br/>
      </w:r>
      <w:r w:rsidRPr="00247339">
        <w:rPr>
          <w:rFonts w:ascii="Times" w:hAnsi="Times" w:cs="Times New Roman"/>
        </w:rPr>
        <w:br/>
        <w:t xml:space="preserve">Protheroe, N. J., &amp; Barsdate, K. J. (1992, March). </w:t>
      </w:r>
      <w:r w:rsidRPr="00247339">
        <w:rPr>
          <w:rFonts w:ascii="Times" w:hAnsi="Times" w:cs="Times New Roman"/>
          <w:i/>
          <w:iCs/>
        </w:rPr>
        <w:t>Culturally Sensitive Instruction. Streamlined Seminar</w:t>
      </w:r>
      <w:r w:rsidRPr="00247339">
        <w:rPr>
          <w:rFonts w:ascii="Times" w:hAnsi="Times" w:cs="Times New Roman"/>
        </w:rPr>
        <w:t>, 10(4), 1-4.</w:t>
      </w:r>
    </w:p>
    <w:p w14:paraId="7D1508C7" w14:textId="77777777" w:rsidR="00B603EA" w:rsidRDefault="00B603EA" w:rsidP="00247339">
      <w:pPr>
        <w:spacing w:before="100" w:beforeAutospacing="1" w:after="100" w:afterAutospacing="1"/>
        <w:rPr>
          <w:rFonts w:ascii="Times" w:hAnsi="Times" w:cs="Times New Roman"/>
          <w:sz w:val="20"/>
          <w:szCs w:val="20"/>
        </w:rPr>
      </w:pPr>
    </w:p>
    <w:p w14:paraId="2AFEAE35" w14:textId="77777777" w:rsidR="00B603EA" w:rsidRPr="00247339" w:rsidRDefault="001D4D00" w:rsidP="00247339">
      <w:pPr>
        <w:spacing w:before="100" w:beforeAutospacing="1" w:after="100" w:afterAutospacing="1"/>
        <w:rPr>
          <w:rFonts w:ascii="Times" w:hAnsi="Times" w:cs="Times New Roman"/>
        </w:rPr>
      </w:pPr>
      <w:hyperlink r:id="rId6" w:history="1">
        <w:r w:rsidR="00B603EA" w:rsidRPr="00B603EA">
          <w:rPr>
            <w:rStyle w:val="Hyperlink"/>
            <w:rFonts w:ascii="Times" w:hAnsi="Times" w:cs="Times New Roman"/>
          </w:rPr>
          <w:t>http://www.intel.com/content/www/us/en/education/k12/project-design/instructional-strategies/priorknowledge.html</w:t>
        </w:r>
      </w:hyperlink>
      <w:r w:rsidR="00B603EA" w:rsidRPr="00B603EA">
        <w:rPr>
          <w:rFonts w:ascii="Times" w:hAnsi="Times" w:cs="Times New Roman"/>
        </w:rPr>
        <w:t xml:space="preserve"> </w:t>
      </w:r>
    </w:p>
    <w:p w14:paraId="076E0119" w14:textId="77777777" w:rsidR="00686D4C" w:rsidRDefault="00686D4C"/>
    <w:sectPr w:rsidR="00686D4C" w:rsidSect="00247339">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339"/>
    <w:rsid w:val="001D4D00"/>
    <w:rsid w:val="00247339"/>
    <w:rsid w:val="00686D4C"/>
    <w:rsid w:val="00B603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293DB4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47339"/>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247339"/>
    <w:pPr>
      <w:spacing w:before="100" w:beforeAutospacing="1" w:after="100" w:afterAutospacing="1"/>
      <w:outlineLvl w:val="1"/>
    </w:pPr>
    <w:rPr>
      <w:rFonts w:ascii="Times" w:hAnsi="Times"/>
      <w:b/>
      <w:bCs/>
      <w:sz w:val="36"/>
      <w:szCs w:val="36"/>
    </w:rPr>
  </w:style>
  <w:style w:type="paragraph" w:styleId="Heading4">
    <w:name w:val="heading 4"/>
    <w:basedOn w:val="Normal"/>
    <w:link w:val="Heading4Char"/>
    <w:uiPriority w:val="9"/>
    <w:qFormat/>
    <w:rsid w:val="00247339"/>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339"/>
    <w:rPr>
      <w:rFonts w:ascii="Times" w:hAnsi="Times"/>
      <w:b/>
      <w:bCs/>
      <w:kern w:val="36"/>
      <w:sz w:val="48"/>
      <w:szCs w:val="48"/>
    </w:rPr>
  </w:style>
  <w:style w:type="character" w:customStyle="1" w:styleId="Heading2Char">
    <w:name w:val="Heading 2 Char"/>
    <w:basedOn w:val="DefaultParagraphFont"/>
    <w:link w:val="Heading2"/>
    <w:uiPriority w:val="9"/>
    <w:rsid w:val="00247339"/>
    <w:rPr>
      <w:rFonts w:ascii="Times" w:hAnsi="Times"/>
      <w:b/>
      <w:bCs/>
      <w:sz w:val="36"/>
      <w:szCs w:val="36"/>
    </w:rPr>
  </w:style>
  <w:style w:type="character" w:customStyle="1" w:styleId="Heading4Char">
    <w:name w:val="Heading 4 Char"/>
    <w:basedOn w:val="DefaultParagraphFont"/>
    <w:link w:val="Heading4"/>
    <w:uiPriority w:val="9"/>
    <w:rsid w:val="00247339"/>
    <w:rPr>
      <w:rFonts w:ascii="Times" w:hAnsi="Times"/>
      <w:b/>
      <w:bCs/>
    </w:rPr>
  </w:style>
  <w:style w:type="paragraph" w:styleId="NormalWeb">
    <w:name w:val="Normal (Web)"/>
    <w:basedOn w:val="Normal"/>
    <w:uiPriority w:val="99"/>
    <w:semiHidden/>
    <w:unhideWhenUsed/>
    <w:rsid w:val="00247339"/>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247339"/>
    <w:rPr>
      <w:color w:val="0000FF"/>
      <w:u w:val="single"/>
    </w:rPr>
  </w:style>
  <w:style w:type="paragraph" w:styleId="BalloonText">
    <w:name w:val="Balloon Text"/>
    <w:basedOn w:val="Normal"/>
    <w:link w:val="BalloonTextChar"/>
    <w:uiPriority w:val="99"/>
    <w:semiHidden/>
    <w:unhideWhenUsed/>
    <w:rsid w:val="0024733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4733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47339"/>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247339"/>
    <w:pPr>
      <w:spacing w:before="100" w:beforeAutospacing="1" w:after="100" w:afterAutospacing="1"/>
      <w:outlineLvl w:val="1"/>
    </w:pPr>
    <w:rPr>
      <w:rFonts w:ascii="Times" w:hAnsi="Times"/>
      <w:b/>
      <w:bCs/>
      <w:sz w:val="36"/>
      <w:szCs w:val="36"/>
    </w:rPr>
  </w:style>
  <w:style w:type="paragraph" w:styleId="Heading4">
    <w:name w:val="heading 4"/>
    <w:basedOn w:val="Normal"/>
    <w:link w:val="Heading4Char"/>
    <w:uiPriority w:val="9"/>
    <w:qFormat/>
    <w:rsid w:val="00247339"/>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339"/>
    <w:rPr>
      <w:rFonts w:ascii="Times" w:hAnsi="Times"/>
      <w:b/>
      <w:bCs/>
      <w:kern w:val="36"/>
      <w:sz w:val="48"/>
      <w:szCs w:val="48"/>
    </w:rPr>
  </w:style>
  <w:style w:type="character" w:customStyle="1" w:styleId="Heading2Char">
    <w:name w:val="Heading 2 Char"/>
    <w:basedOn w:val="DefaultParagraphFont"/>
    <w:link w:val="Heading2"/>
    <w:uiPriority w:val="9"/>
    <w:rsid w:val="00247339"/>
    <w:rPr>
      <w:rFonts w:ascii="Times" w:hAnsi="Times"/>
      <w:b/>
      <w:bCs/>
      <w:sz w:val="36"/>
      <w:szCs w:val="36"/>
    </w:rPr>
  </w:style>
  <w:style w:type="character" w:customStyle="1" w:styleId="Heading4Char">
    <w:name w:val="Heading 4 Char"/>
    <w:basedOn w:val="DefaultParagraphFont"/>
    <w:link w:val="Heading4"/>
    <w:uiPriority w:val="9"/>
    <w:rsid w:val="00247339"/>
    <w:rPr>
      <w:rFonts w:ascii="Times" w:hAnsi="Times"/>
      <w:b/>
      <w:bCs/>
    </w:rPr>
  </w:style>
  <w:style w:type="paragraph" w:styleId="NormalWeb">
    <w:name w:val="Normal (Web)"/>
    <w:basedOn w:val="Normal"/>
    <w:uiPriority w:val="99"/>
    <w:semiHidden/>
    <w:unhideWhenUsed/>
    <w:rsid w:val="00247339"/>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247339"/>
    <w:rPr>
      <w:color w:val="0000FF"/>
      <w:u w:val="single"/>
    </w:rPr>
  </w:style>
  <w:style w:type="paragraph" w:styleId="BalloonText">
    <w:name w:val="Balloon Text"/>
    <w:basedOn w:val="Normal"/>
    <w:link w:val="BalloonTextChar"/>
    <w:uiPriority w:val="99"/>
    <w:semiHidden/>
    <w:unhideWhenUsed/>
    <w:rsid w:val="0024733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4733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133011">
      <w:bodyDiv w:val="1"/>
      <w:marLeft w:val="0"/>
      <w:marRight w:val="0"/>
      <w:marTop w:val="0"/>
      <w:marBottom w:val="0"/>
      <w:divBdr>
        <w:top w:val="none" w:sz="0" w:space="0" w:color="auto"/>
        <w:left w:val="none" w:sz="0" w:space="0" w:color="auto"/>
        <w:bottom w:val="none" w:sz="0" w:space="0" w:color="auto"/>
        <w:right w:val="none" w:sz="0" w:space="0" w:color="auto"/>
      </w:divBdr>
      <w:divsChild>
        <w:div w:id="213008059">
          <w:marLeft w:val="0"/>
          <w:marRight w:val="0"/>
          <w:marTop w:val="0"/>
          <w:marBottom w:val="0"/>
          <w:divBdr>
            <w:top w:val="none" w:sz="0" w:space="0" w:color="auto"/>
            <w:left w:val="none" w:sz="0" w:space="0" w:color="auto"/>
            <w:bottom w:val="none" w:sz="0" w:space="0" w:color="auto"/>
            <w:right w:val="none" w:sz="0" w:space="0" w:color="auto"/>
          </w:divBdr>
          <w:divsChild>
            <w:div w:id="1641109510">
              <w:marLeft w:val="0"/>
              <w:marRight w:val="0"/>
              <w:marTop w:val="0"/>
              <w:marBottom w:val="0"/>
              <w:divBdr>
                <w:top w:val="none" w:sz="0" w:space="0" w:color="auto"/>
                <w:left w:val="none" w:sz="0" w:space="0" w:color="auto"/>
                <w:bottom w:val="none" w:sz="0" w:space="0" w:color="auto"/>
                <w:right w:val="none" w:sz="0" w:space="0" w:color="auto"/>
              </w:divBdr>
              <w:divsChild>
                <w:div w:id="104539982">
                  <w:marLeft w:val="0"/>
                  <w:marRight w:val="0"/>
                  <w:marTop w:val="0"/>
                  <w:marBottom w:val="0"/>
                  <w:divBdr>
                    <w:top w:val="none" w:sz="0" w:space="0" w:color="auto"/>
                    <w:left w:val="none" w:sz="0" w:space="0" w:color="auto"/>
                    <w:bottom w:val="none" w:sz="0" w:space="0" w:color="auto"/>
                    <w:right w:val="none" w:sz="0" w:space="0" w:color="auto"/>
                  </w:divBdr>
                  <w:divsChild>
                    <w:div w:id="810755535">
                      <w:marLeft w:val="0"/>
                      <w:marRight w:val="0"/>
                      <w:marTop w:val="0"/>
                      <w:marBottom w:val="0"/>
                      <w:divBdr>
                        <w:top w:val="none" w:sz="0" w:space="0" w:color="auto"/>
                        <w:left w:val="none" w:sz="0" w:space="0" w:color="auto"/>
                        <w:bottom w:val="none" w:sz="0" w:space="0" w:color="auto"/>
                        <w:right w:val="none" w:sz="0" w:space="0" w:color="auto"/>
                      </w:divBdr>
                      <w:divsChild>
                        <w:div w:id="39455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29587">
          <w:marLeft w:val="0"/>
          <w:marRight w:val="0"/>
          <w:marTop w:val="0"/>
          <w:marBottom w:val="0"/>
          <w:divBdr>
            <w:top w:val="none" w:sz="0" w:space="0" w:color="auto"/>
            <w:left w:val="none" w:sz="0" w:space="0" w:color="auto"/>
            <w:bottom w:val="none" w:sz="0" w:space="0" w:color="auto"/>
            <w:right w:val="none" w:sz="0" w:space="0" w:color="auto"/>
          </w:divBdr>
          <w:divsChild>
            <w:div w:id="768819985">
              <w:marLeft w:val="0"/>
              <w:marRight w:val="0"/>
              <w:marTop w:val="0"/>
              <w:marBottom w:val="0"/>
              <w:divBdr>
                <w:top w:val="none" w:sz="0" w:space="0" w:color="auto"/>
                <w:left w:val="none" w:sz="0" w:space="0" w:color="auto"/>
                <w:bottom w:val="none" w:sz="0" w:space="0" w:color="auto"/>
                <w:right w:val="none" w:sz="0" w:space="0" w:color="auto"/>
              </w:divBdr>
              <w:divsChild>
                <w:div w:id="1866282699">
                  <w:marLeft w:val="0"/>
                  <w:marRight w:val="0"/>
                  <w:marTop w:val="0"/>
                  <w:marBottom w:val="0"/>
                  <w:divBdr>
                    <w:top w:val="none" w:sz="0" w:space="0" w:color="auto"/>
                    <w:left w:val="none" w:sz="0" w:space="0" w:color="auto"/>
                    <w:bottom w:val="none" w:sz="0" w:space="0" w:color="auto"/>
                    <w:right w:val="none" w:sz="0" w:space="0" w:color="auto"/>
                  </w:divBdr>
                  <w:divsChild>
                    <w:div w:id="1783957471">
                      <w:marLeft w:val="0"/>
                      <w:marRight w:val="0"/>
                      <w:marTop w:val="0"/>
                      <w:marBottom w:val="0"/>
                      <w:divBdr>
                        <w:top w:val="none" w:sz="0" w:space="0" w:color="auto"/>
                        <w:left w:val="none" w:sz="0" w:space="0" w:color="auto"/>
                        <w:bottom w:val="none" w:sz="0" w:space="0" w:color="auto"/>
                        <w:right w:val="none" w:sz="0" w:space="0" w:color="auto"/>
                      </w:divBdr>
                      <w:divsChild>
                        <w:div w:id="90356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www.intel.com/content/www/us/en/education/k12/project-design/instructional-strategies/priorknowledge.html"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654</Words>
  <Characters>3734</Characters>
  <Application>Microsoft Macintosh Word</Application>
  <DocSecurity>0</DocSecurity>
  <Lines>31</Lines>
  <Paragraphs>8</Paragraphs>
  <ScaleCrop>false</ScaleCrop>
  <Company>Granite School District</Company>
  <LinksUpToDate>false</LinksUpToDate>
  <CharactersWithSpaces>4380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Hemmert</dc:creator>
  <cp:keywords/>
  <dc:description/>
  <cp:lastModifiedBy>Hemmert, Sandra</cp:lastModifiedBy>
  <cp:revision>4</cp:revision>
  <cp:lastPrinted>2014-08-13T16:25:00Z</cp:lastPrinted>
  <dcterms:created xsi:type="dcterms:W3CDTF">2014-08-10T16:26:00Z</dcterms:created>
  <dcterms:modified xsi:type="dcterms:W3CDTF">2014-08-13T16:25:00Z</dcterms:modified>
</cp:coreProperties>
</file>